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66" w:rsidRPr="00551218" w:rsidRDefault="00A97966" w:rsidP="00B55B48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551218">
        <w:rPr>
          <w:b/>
          <w:sz w:val="28"/>
          <w:szCs w:val="28"/>
        </w:rPr>
        <w:t xml:space="preserve">In the District Court </w:t>
      </w:r>
    </w:p>
    <w:p w:rsidR="00080F88" w:rsidRDefault="00A97966" w:rsidP="00B55B48">
      <w:pPr>
        <w:pBdr>
          <w:bottom w:val="single" w:sz="4" w:space="1" w:color="auto"/>
        </w:pBdr>
        <w:spacing w:after="0"/>
        <w:rPr>
          <w:b/>
          <w:sz w:val="28"/>
          <w:szCs w:val="28"/>
        </w:rPr>
      </w:pPr>
      <w:r w:rsidRPr="00551218">
        <w:rPr>
          <w:b/>
          <w:sz w:val="28"/>
          <w:szCs w:val="28"/>
        </w:rPr>
        <w:t>at North Shore</w:t>
      </w:r>
    </w:p>
    <w:p w:rsidR="00A050D8" w:rsidRPr="00A050D8" w:rsidRDefault="00A050D8" w:rsidP="00B55B48">
      <w:pPr>
        <w:pBdr>
          <w:bottom w:val="single" w:sz="4" w:space="1" w:color="auto"/>
        </w:pBdr>
        <w:spacing w:after="0"/>
        <w:rPr>
          <w:b/>
          <w:sz w:val="16"/>
          <w:szCs w:val="16"/>
        </w:rPr>
      </w:pPr>
    </w:p>
    <w:p w:rsidR="00080F88" w:rsidRPr="00FD4D43" w:rsidRDefault="00080F88" w:rsidP="00FD4D43">
      <w:pPr>
        <w:spacing w:after="0"/>
        <w:rPr>
          <w:sz w:val="24"/>
          <w:szCs w:val="24"/>
        </w:rPr>
      </w:pPr>
    </w:p>
    <w:p w:rsidR="00CB1CD4" w:rsidRPr="00551218" w:rsidRDefault="00CB1CD4" w:rsidP="00FD4D43">
      <w:pPr>
        <w:spacing w:after="0"/>
      </w:pPr>
      <w:r w:rsidRPr="00551218">
        <w:t xml:space="preserve">In the matter of </w:t>
      </w:r>
      <w:r w:rsidRPr="00551218">
        <w:tab/>
      </w:r>
      <w:r w:rsidR="00FD4D43" w:rsidRPr="00551218">
        <w:tab/>
      </w:r>
      <w:r w:rsidRPr="00551218">
        <w:t>the Electoral Act 1993</w:t>
      </w:r>
    </w:p>
    <w:p w:rsidR="00395237" w:rsidRPr="00551218" w:rsidRDefault="00395237" w:rsidP="00FD4D43">
      <w:pPr>
        <w:spacing w:after="0"/>
        <w:ind w:left="2160" w:hanging="2160"/>
        <w:jc w:val="both"/>
      </w:pPr>
    </w:p>
    <w:p w:rsidR="00FD4D43" w:rsidRPr="00551218" w:rsidRDefault="00FD4D43" w:rsidP="00FD4D43">
      <w:pPr>
        <w:spacing w:after="0"/>
        <w:ind w:left="2160" w:hanging="2160"/>
        <w:jc w:val="both"/>
      </w:pPr>
    </w:p>
    <w:p w:rsidR="00CB1CD4" w:rsidRPr="00551218" w:rsidRDefault="00CB1CD4" w:rsidP="00FD4D43">
      <w:pPr>
        <w:spacing w:after="0"/>
        <w:ind w:left="2880" w:hanging="2880"/>
        <w:jc w:val="both"/>
      </w:pPr>
      <w:r w:rsidRPr="00551218">
        <w:t xml:space="preserve">and in the matter of </w:t>
      </w:r>
      <w:r w:rsidRPr="00551218">
        <w:tab/>
        <w:t>an application by Hone Pani Tamati Waka Nene Harawira of Kaitaia, former Member of Parliament, for an order that a recount of electorate votes in the Te Tai Tokerau electoral district be conducted</w:t>
      </w:r>
    </w:p>
    <w:p w:rsidR="00CB1CD4" w:rsidRPr="00551218" w:rsidRDefault="00CB1CD4" w:rsidP="00FD4D43">
      <w:pPr>
        <w:spacing w:after="0"/>
        <w:ind w:left="2160" w:hanging="2160"/>
        <w:jc w:val="both"/>
        <w:rPr>
          <w:sz w:val="24"/>
          <w:szCs w:val="24"/>
        </w:rPr>
      </w:pPr>
    </w:p>
    <w:p w:rsidR="00FD4D43" w:rsidRPr="00FD4D43" w:rsidRDefault="00FD4D43" w:rsidP="00FD4D43">
      <w:pPr>
        <w:spacing w:after="0"/>
        <w:ind w:left="2160" w:hanging="2160"/>
        <w:jc w:val="both"/>
        <w:rPr>
          <w:sz w:val="24"/>
          <w:szCs w:val="24"/>
        </w:rPr>
      </w:pPr>
    </w:p>
    <w:p w:rsidR="00395237" w:rsidRPr="00FD4D43" w:rsidRDefault="00395237" w:rsidP="00FD4D43">
      <w:pPr>
        <w:spacing w:after="0"/>
        <w:ind w:left="2160" w:hanging="2160"/>
        <w:jc w:val="both"/>
        <w:rPr>
          <w:sz w:val="24"/>
          <w:szCs w:val="24"/>
        </w:rPr>
      </w:pPr>
      <w:r w:rsidRPr="00FD4D43">
        <w:rPr>
          <w:sz w:val="24"/>
          <w:szCs w:val="24"/>
        </w:rPr>
        <w:t>Date of decision:</w:t>
      </w:r>
      <w:r w:rsidRPr="00FD4D43">
        <w:rPr>
          <w:sz w:val="24"/>
          <w:szCs w:val="24"/>
        </w:rPr>
        <w:tab/>
      </w:r>
      <w:r w:rsidR="00FD4D43">
        <w:rPr>
          <w:sz w:val="24"/>
          <w:szCs w:val="24"/>
        </w:rPr>
        <w:tab/>
      </w:r>
      <w:r w:rsidRPr="00FD4D43">
        <w:rPr>
          <w:sz w:val="24"/>
          <w:szCs w:val="24"/>
        </w:rPr>
        <w:t>9 October 2014</w:t>
      </w:r>
    </w:p>
    <w:p w:rsidR="00395237" w:rsidRDefault="00395237" w:rsidP="00FD4D43">
      <w:pPr>
        <w:spacing w:after="0"/>
        <w:ind w:left="2160" w:hanging="2160"/>
        <w:jc w:val="both"/>
        <w:rPr>
          <w:sz w:val="24"/>
          <w:szCs w:val="24"/>
        </w:rPr>
      </w:pPr>
    </w:p>
    <w:p w:rsidR="00551218" w:rsidRPr="00FD4D43" w:rsidRDefault="00551218" w:rsidP="00FD4D43">
      <w:pPr>
        <w:spacing w:after="0"/>
        <w:ind w:left="2160" w:hanging="2160"/>
        <w:jc w:val="both"/>
        <w:rPr>
          <w:sz w:val="24"/>
          <w:szCs w:val="24"/>
        </w:rPr>
      </w:pPr>
    </w:p>
    <w:p w:rsidR="00A050D8" w:rsidRDefault="00A050D8" w:rsidP="00A050D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160" w:hanging="2160"/>
        <w:jc w:val="center"/>
        <w:rPr>
          <w:b/>
          <w:sz w:val="24"/>
          <w:szCs w:val="24"/>
        </w:rPr>
      </w:pPr>
    </w:p>
    <w:p w:rsidR="00395237" w:rsidRPr="00FD4D43" w:rsidRDefault="00395237" w:rsidP="00B55B48">
      <w:pPr>
        <w:pBdr>
          <w:top w:val="single" w:sz="4" w:space="1" w:color="auto"/>
          <w:bottom w:val="single" w:sz="4" w:space="1" w:color="auto"/>
        </w:pBdr>
        <w:spacing w:after="0"/>
        <w:ind w:left="2160" w:hanging="2160"/>
        <w:jc w:val="center"/>
        <w:rPr>
          <w:b/>
          <w:sz w:val="24"/>
          <w:szCs w:val="24"/>
        </w:rPr>
      </w:pPr>
      <w:r w:rsidRPr="00FD4D43">
        <w:rPr>
          <w:b/>
          <w:sz w:val="24"/>
          <w:szCs w:val="24"/>
        </w:rPr>
        <w:t xml:space="preserve">DECISION OF JUDGE T J BROADMORE </w:t>
      </w:r>
    </w:p>
    <w:p w:rsidR="00395237" w:rsidRDefault="00395237" w:rsidP="00B55B48">
      <w:pPr>
        <w:pBdr>
          <w:top w:val="single" w:sz="4" w:space="1" w:color="auto"/>
          <w:bottom w:val="single" w:sz="4" w:space="1" w:color="auto"/>
        </w:pBdr>
        <w:spacing w:after="0"/>
        <w:ind w:left="2160" w:hanging="2160"/>
        <w:jc w:val="center"/>
        <w:rPr>
          <w:b/>
          <w:sz w:val="24"/>
          <w:szCs w:val="24"/>
        </w:rPr>
      </w:pPr>
      <w:r w:rsidRPr="00FD4D43">
        <w:rPr>
          <w:b/>
          <w:sz w:val="24"/>
          <w:szCs w:val="24"/>
        </w:rPr>
        <w:t>OUTCOME OF JUDICIAL RECOUNT – TE TAI TOKERAU ELECTORAL DISTRICT</w:t>
      </w:r>
    </w:p>
    <w:p w:rsidR="00A050D8" w:rsidRPr="00A050D8" w:rsidRDefault="00A050D8" w:rsidP="00A050D8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2160" w:hanging="2160"/>
        <w:jc w:val="center"/>
        <w:rPr>
          <w:b/>
          <w:sz w:val="16"/>
          <w:szCs w:val="16"/>
        </w:rPr>
      </w:pPr>
    </w:p>
    <w:p w:rsidR="00080F88" w:rsidRDefault="00080F88" w:rsidP="00FD4D43">
      <w:pPr>
        <w:spacing w:after="0"/>
        <w:rPr>
          <w:sz w:val="24"/>
          <w:szCs w:val="24"/>
        </w:rPr>
      </w:pPr>
    </w:p>
    <w:p w:rsidR="00551218" w:rsidRPr="00FD4D43" w:rsidRDefault="00551218" w:rsidP="00FD4D43">
      <w:pPr>
        <w:spacing w:after="0"/>
        <w:rPr>
          <w:sz w:val="24"/>
          <w:szCs w:val="24"/>
        </w:rPr>
      </w:pPr>
    </w:p>
    <w:p w:rsidR="00395237" w:rsidRPr="00FD4D43" w:rsidRDefault="00395237" w:rsidP="00551218">
      <w:pPr>
        <w:spacing w:after="0"/>
        <w:jc w:val="both"/>
        <w:rPr>
          <w:sz w:val="24"/>
          <w:szCs w:val="24"/>
        </w:rPr>
      </w:pPr>
      <w:r w:rsidRPr="00FD4D43">
        <w:rPr>
          <w:sz w:val="24"/>
          <w:szCs w:val="24"/>
        </w:rPr>
        <w:t>I announce the outcome of the recount of candidate votes in the Te Tai Tokerau electoral district sought by Mr Hone Harawira, a candidate for election in that district.</w:t>
      </w:r>
    </w:p>
    <w:p w:rsidR="009D47F3" w:rsidRDefault="009D47F3" w:rsidP="00551218">
      <w:pPr>
        <w:spacing w:after="0"/>
        <w:jc w:val="both"/>
        <w:rPr>
          <w:sz w:val="24"/>
          <w:szCs w:val="24"/>
        </w:rPr>
      </w:pPr>
    </w:p>
    <w:p w:rsidR="00395237" w:rsidRDefault="00395237" w:rsidP="00551218">
      <w:pPr>
        <w:spacing w:after="0"/>
        <w:jc w:val="both"/>
        <w:rPr>
          <w:sz w:val="24"/>
          <w:szCs w:val="24"/>
        </w:rPr>
      </w:pPr>
      <w:r w:rsidRPr="00FD4D43">
        <w:rPr>
          <w:sz w:val="24"/>
          <w:szCs w:val="24"/>
        </w:rPr>
        <w:t xml:space="preserve">The recount has resulted in a minor variation </w:t>
      </w:r>
      <w:r w:rsidR="001F2D02" w:rsidRPr="00FD4D43">
        <w:rPr>
          <w:sz w:val="24"/>
          <w:szCs w:val="24"/>
        </w:rPr>
        <w:t>in the official declaration of results on 4 October 2014 of the outcome.  I will record the details in a schedule to the formal written decision to be issued in the next day or two, but the overall outcome is as follows:</w:t>
      </w:r>
      <w:r w:rsidRPr="00FD4D43">
        <w:rPr>
          <w:sz w:val="24"/>
          <w:szCs w:val="24"/>
        </w:rPr>
        <w:t xml:space="preserve"> </w:t>
      </w:r>
    </w:p>
    <w:p w:rsidR="00551218" w:rsidRPr="00FD4D43" w:rsidRDefault="00551218" w:rsidP="00551218">
      <w:pPr>
        <w:spacing w:after="0"/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6"/>
        <w:gridCol w:w="2019"/>
        <w:gridCol w:w="2240"/>
        <w:gridCol w:w="2277"/>
      </w:tblGrid>
      <w:tr w:rsidR="00032965" w:rsidRPr="00FD4D43" w:rsidTr="00032965">
        <w:tc>
          <w:tcPr>
            <w:tcW w:w="2706" w:type="dxa"/>
          </w:tcPr>
          <w:p w:rsidR="00032965" w:rsidRPr="00FD4D43" w:rsidRDefault="00032965">
            <w:pPr>
              <w:rPr>
                <w:b/>
                <w:sz w:val="24"/>
                <w:szCs w:val="24"/>
              </w:rPr>
            </w:pPr>
            <w:r w:rsidRPr="00FD4D43">
              <w:rPr>
                <w:b/>
                <w:sz w:val="24"/>
                <w:szCs w:val="24"/>
              </w:rPr>
              <w:t>Candidates</w:t>
            </w:r>
          </w:p>
        </w:tc>
        <w:tc>
          <w:tcPr>
            <w:tcW w:w="2019" w:type="dxa"/>
          </w:tcPr>
          <w:p w:rsidR="00032965" w:rsidRPr="00FD4D43" w:rsidRDefault="00032965">
            <w:pPr>
              <w:rPr>
                <w:b/>
                <w:sz w:val="24"/>
                <w:szCs w:val="24"/>
              </w:rPr>
            </w:pPr>
            <w:r w:rsidRPr="00FD4D43">
              <w:rPr>
                <w:b/>
                <w:sz w:val="24"/>
                <w:szCs w:val="24"/>
              </w:rPr>
              <w:t>Party</w:t>
            </w:r>
          </w:p>
        </w:tc>
        <w:tc>
          <w:tcPr>
            <w:tcW w:w="2240" w:type="dxa"/>
          </w:tcPr>
          <w:p w:rsidR="00032965" w:rsidRPr="00FD4D43" w:rsidRDefault="00032965">
            <w:pPr>
              <w:rPr>
                <w:b/>
                <w:sz w:val="24"/>
                <w:szCs w:val="24"/>
              </w:rPr>
            </w:pPr>
            <w:r w:rsidRPr="00FD4D43">
              <w:rPr>
                <w:b/>
                <w:sz w:val="24"/>
                <w:szCs w:val="24"/>
              </w:rPr>
              <w:t>Official Result</w:t>
            </w:r>
          </w:p>
        </w:tc>
        <w:tc>
          <w:tcPr>
            <w:tcW w:w="2277" w:type="dxa"/>
          </w:tcPr>
          <w:p w:rsidR="00032965" w:rsidRPr="00FD4D43" w:rsidRDefault="00032965">
            <w:pPr>
              <w:rPr>
                <w:b/>
                <w:sz w:val="24"/>
                <w:szCs w:val="24"/>
              </w:rPr>
            </w:pPr>
            <w:r w:rsidRPr="00FD4D43">
              <w:rPr>
                <w:b/>
                <w:sz w:val="24"/>
                <w:szCs w:val="24"/>
              </w:rPr>
              <w:t>Recount Result</w:t>
            </w:r>
          </w:p>
        </w:tc>
      </w:tr>
      <w:tr w:rsidR="00032965" w:rsidRPr="00FD4D43" w:rsidTr="00032965">
        <w:tc>
          <w:tcPr>
            <w:tcW w:w="2706" w:type="dxa"/>
          </w:tcPr>
          <w:p w:rsidR="00032965" w:rsidRPr="00FD4D43" w:rsidRDefault="00032965" w:rsidP="00032965">
            <w:pPr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 xml:space="preserve">DAVIS, Kelvin     </w:t>
            </w:r>
          </w:p>
        </w:tc>
        <w:tc>
          <w:tcPr>
            <w:tcW w:w="2019" w:type="dxa"/>
          </w:tcPr>
          <w:p w:rsidR="00032965" w:rsidRPr="00FD4D43" w:rsidRDefault="00032965">
            <w:pPr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>LABOUR</w:t>
            </w:r>
          </w:p>
        </w:tc>
        <w:tc>
          <w:tcPr>
            <w:tcW w:w="2240" w:type="dxa"/>
          </w:tcPr>
          <w:p w:rsidR="00032965" w:rsidRPr="00FD4D43" w:rsidRDefault="00F17B42" w:rsidP="00842249">
            <w:pPr>
              <w:jc w:val="right"/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>9,710</w:t>
            </w:r>
          </w:p>
        </w:tc>
        <w:tc>
          <w:tcPr>
            <w:tcW w:w="2277" w:type="dxa"/>
          </w:tcPr>
          <w:p w:rsidR="00032965" w:rsidRPr="00FD4D43" w:rsidRDefault="00842249" w:rsidP="008422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9,712</w:t>
            </w:r>
          </w:p>
        </w:tc>
      </w:tr>
      <w:tr w:rsidR="00032965" w:rsidRPr="00FD4D43" w:rsidTr="00032965">
        <w:tc>
          <w:tcPr>
            <w:tcW w:w="2706" w:type="dxa"/>
          </w:tcPr>
          <w:p w:rsidR="00032965" w:rsidRPr="00FD4D43" w:rsidRDefault="00032965" w:rsidP="00032965">
            <w:pPr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 xml:space="preserve">DEARLOVE, Clinton    </w:t>
            </w:r>
          </w:p>
        </w:tc>
        <w:tc>
          <w:tcPr>
            <w:tcW w:w="2019" w:type="dxa"/>
          </w:tcPr>
          <w:p w:rsidR="00032965" w:rsidRPr="00FD4D43" w:rsidRDefault="00032965">
            <w:pPr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>INDEPENDENT</w:t>
            </w:r>
          </w:p>
        </w:tc>
        <w:tc>
          <w:tcPr>
            <w:tcW w:w="2240" w:type="dxa"/>
          </w:tcPr>
          <w:p w:rsidR="00032965" w:rsidRPr="00FD4D43" w:rsidRDefault="00F17B42" w:rsidP="00842249">
            <w:pPr>
              <w:jc w:val="right"/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>451</w:t>
            </w:r>
          </w:p>
        </w:tc>
        <w:tc>
          <w:tcPr>
            <w:tcW w:w="2277" w:type="dxa"/>
          </w:tcPr>
          <w:p w:rsidR="00032965" w:rsidRPr="00FD4D43" w:rsidRDefault="00842249" w:rsidP="008422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</w:t>
            </w:r>
          </w:p>
        </w:tc>
      </w:tr>
      <w:tr w:rsidR="00032965" w:rsidRPr="00FD4D43" w:rsidTr="00032965">
        <w:tc>
          <w:tcPr>
            <w:tcW w:w="2706" w:type="dxa"/>
          </w:tcPr>
          <w:p w:rsidR="00032965" w:rsidRPr="00FD4D43" w:rsidRDefault="00F17B42">
            <w:pPr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>HARAWIRA, Hone</w:t>
            </w:r>
          </w:p>
        </w:tc>
        <w:tc>
          <w:tcPr>
            <w:tcW w:w="2019" w:type="dxa"/>
          </w:tcPr>
          <w:p w:rsidR="00032965" w:rsidRPr="00FD4D43" w:rsidRDefault="00F17B42">
            <w:pPr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>MANA MOVEMENT</w:t>
            </w:r>
          </w:p>
        </w:tc>
        <w:tc>
          <w:tcPr>
            <w:tcW w:w="2240" w:type="dxa"/>
          </w:tcPr>
          <w:p w:rsidR="00032965" w:rsidRPr="00FD4D43" w:rsidRDefault="00F17B42" w:rsidP="00842249">
            <w:pPr>
              <w:jc w:val="right"/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>8,971</w:t>
            </w:r>
          </w:p>
        </w:tc>
        <w:tc>
          <w:tcPr>
            <w:tcW w:w="2277" w:type="dxa"/>
          </w:tcPr>
          <w:p w:rsidR="00032965" w:rsidRPr="00FD4D43" w:rsidRDefault="00842249" w:rsidP="008422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8,969</w:t>
            </w:r>
          </w:p>
        </w:tc>
      </w:tr>
      <w:tr w:rsidR="00032965" w:rsidRPr="00FD4D43" w:rsidTr="00032965">
        <w:tc>
          <w:tcPr>
            <w:tcW w:w="2706" w:type="dxa"/>
          </w:tcPr>
          <w:p w:rsidR="00032965" w:rsidRPr="00FD4D43" w:rsidRDefault="00F17B42">
            <w:pPr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>PAENGA, Te Hira</w:t>
            </w:r>
          </w:p>
        </w:tc>
        <w:tc>
          <w:tcPr>
            <w:tcW w:w="2019" w:type="dxa"/>
          </w:tcPr>
          <w:p w:rsidR="00032965" w:rsidRPr="00FD4D43" w:rsidRDefault="00F17B42" w:rsidP="00F17B42">
            <w:pPr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 xml:space="preserve">MAORI </w:t>
            </w:r>
          </w:p>
        </w:tc>
        <w:tc>
          <w:tcPr>
            <w:tcW w:w="2240" w:type="dxa"/>
          </w:tcPr>
          <w:p w:rsidR="00032965" w:rsidRPr="00FD4D43" w:rsidRDefault="00F17B42" w:rsidP="00842249">
            <w:pPr>
              <w:jc w:val="right"/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>2,565</w:t>
            </w:r>
          </w:p>
        </w:tc>
        <w:tc>
          <w:tcPr>
            <w:tcW w:w="2277" w:type="dxa"/>
          </w:tcPr>
          <w:p w:rsidR="00032965" w:rsidRPr="00FD4D43" w:rsidRDefault="00842249" w:rsidP="008422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2,579</w:t>
            </w:r>
          </w:p>
        </w:tc>
      </w:tr>
      <w:tr w:rsidR="00032965" w:rsidRPr="00FD4D43" w:rsidTr="00032965">
        <w:tc>
          <w:tcPr>
            <w:tcW w:w="2706" w:type="dxa"/>
          </w:tcPr>
          <w:p w:rsidR="00032965" w:rsidRPr="00FD4D43" w:rsidRDefault="00F17B42" w:rsidP="009D47F3">
            <w:pPr>
              <w:rPr>
                <w:b/>
                <w:sz w:val="24"/>
                <w:szCs w:val="24"/>
              </w:rPr>
            </w:pPr>
            <w:r w:rsidRPr="00FD4D43">
              <w:rPr>
                <w:b/>
                <w:sz w:val="24"/>
                <w:szCs w:val="24"/>
              </w:rPr>
              <w:t xml:space="preserve">Candidate </w:t>
            </w:r>
            <w:r w:rsidR="009D47F3">
              <w:rPr>
                <w:b/>
                <w:sz w:val="24"/>
                <w:szCs w:val="24"/>
              </w:rPr>
              <w:t>In</w:t>
            </w:r>
            <w:r w:rsidRPr="00FD4D43">
              <w:rPr>
                <w:b/>
                <w:sz w:val="24"/>
                <w:szCs w:val="24"/>
              </w:rPr>
              <w:t>formals</w:t>
            </w:r>
          </w:p>
        </w:tc>
        <w:tc>
          <w:tcPr>
            <w:tcW w:w="2019" w:type="dxa"/>
          </w:tcPr>
          <w:p w:rsidR="00032965" w:rsidRPr="00FD4D43" w:rsidRDefault="00032965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032965" w:rsidRPr="00FD4D43" w:rsidRDefault="00F17B42" w:rsidP="00842249">
            <w:pPr>
              <w:jc w:val="right"/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>437</w:t>
            </w:r>
          </w:p>
        </w:tc>
        <w:tc>
          <w:tcPr>
            <w:tcW w:w="2277" w:type="dxa"/>
          </w:tcPr>
          <w:p w:rsidR="00032965" w:rsidRPr="00FD4D43" w:rsidRDefault="00842249" w:rsidP="008422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</w:tr>
      <w:tr w:rsidR="00F17B42" w:rsidRPr="00FD4D43" w:rsidTr="00032965">
        <w:tc>
          <w:tcPr>
            <w:tcW w:w="2706" w:type="dxa"/>
          </w:tcPr>
          <w:p w:rsidR="00F17B42" w:rsidRPr="00FD4D43" w:rsidRDefault="00F17B42">
            <w:pPr>
              <w:rPr>
                <w:b/>
                <w:sz w:val="24"/>
                <w:szCs w:val="24"/>
              </w:rPr>
            </w:pPr>
            <w:r w:rsidRPr="00FD4D4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019" w:type="dxa"/>
          </w:tcPr>
          <w:p w:rsidR="00F17B42" w:rsidRPr="00FD4D43" w:rsidRDefault="00F17B42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F17B42" w:rsidRPr="00FD4D43" w:rsidRDefault="00E72A58" w:rsidP="00842249">
            <w:pPr>
              <w:jc w:val="right"/>
              <w:rPr>
                <w:sz w:val="24"/>
                <w:szCs w:val="24"/>
              </w:rPr>
            </w:pPr>
            <w:r w:rsidRPr="00FD4D43">
              <w:rPr>
                <w:sz w:val="24"/>
                <w:szCs w:val="24"/>
              </w:rPr>
              <w:t>22,134</w:t>
            </w:r>
          </w:p>
        </w:tc>
        <w:tc>
          <w:tcPr>
            <w:tcW w:w="2277" w:type="dxa"/>
          </w:tcPr>
          <w:p w:rsidR="00F17B42" w:rsidRPr="00FD4D43" w:rsidRDefault="00842249" w:rsidP="008422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22,132</w:t>
            </w:r>
          </w:p>
        </w:tc>
      </w:tr>
    </w:tbl>
    <w:p w:rsidR="00031BC9" w:rsidRPr="00FD4D43" w:rsidRDefault="00031BC9">
      <w:pPr>
        <w:rPr>
          <w:sz w:val="24"/>
          <w:szCs w:val="24"/>
        </w:rPr>
      </w:pPr>
    </w:p>
    <w:p w:rsidR="00080F88" w:rsidRPr="00FD4D43" w:rsidRDefault="00223132" w:rsidP="005512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this </w:t>
      </w:r>
      <w:r w:rsidR="001F2D02" w:rsidRPr="00FD4D43">
        <w:rPr>
          <w:sz w:val="24"/>
          <w:szCs w:val="24"/>
        </w:rPr>
        <w:t xml:space="preserve">decision </w:t>
      </w:r>
      <w:r>
        <w:rPr>
          <w:sz w:val="24"/>
          <w:szCs w:val="24"/>
        </w:rPr>
        <w:t xml:space="preserve">I </w:t>
      </w:r>
      <w:r w:rsidR="001F2D02" w:rsidRPr="00FD4D43">
        <w:rPr>
          <w:sz w:val="24"/>
          <w:szCs w:val="24"/>
        </w:rPr>
        <w:t xml:space="preserve">direct the Electoral Commission to file an amended declaration of the result of the poll in </w:t>
      </w:r>
      <w:r>
        <w:rPr>
          <w:sz w:val="24"/>
          <w:szCs w:val="24"/>
        </w:rPr>
        <w:t xml:space="preserve">the </w:t>
      </w:r>
      <w:r w:rsidR="001F2D02" w:rsidRPr="00FD4D43">
        <w:rPr>
          <w:sz w:val="24"/>
          <w:szCs w:val="24"/>
        </w:rPr>
        <w:t xml:space="preserve">Te Tai Tokerau </w:t>
      </w:r>
      <w:r>
        <w:rPr>
          <w:sz w:val="24"/>
          <w:szCs w:val="24"/>
        </w:rPr>
        <w:t xml:space="preserve">electoral district. </w:t>
      </w:r>
    </w:p>
    <w:p w:rsidR="00223132" w:rsidRDefault="00223132" w:rsidP="00551218">
      <w:pPr>
        <w:jc w:val="both"/>
        <w:rPr>
          <w:sz w:val="24"/>
          <w:szCs w:val="24"/>
        </w:rPr>
      </w:pPr>
      <w:r>
        <w:rPr>
          <w:sz w:val="24"/>
          <w:szCs w:val="24"/>
        </w:rPr>
        <w:t>Within the next few days I will issue an expanded version of this decision setting out details of the way in which the recount was undertaken.</w:t>
      </w:r>
    </w:p>
    <w:p w:rsidR="00D60739" w:rsidRPr="00FD4D43" w:rsidRDefault="00D60739" w:rsidP="00551218">
      <w:pPr>
        <w:jc w:val="both"/>
        <w:rPr>
          <w:sz w:val="24"/>
          <w:szCs w:val="24"/>
        </w:rPr>
      </w:pPr>
      <w:r w:rsidRPr="00FD4D43">
        <w:rPr>
          <w:sz w:val="24"/>
          <w:szCs w:val="24"/>
        </w:rPr>
        <w:t xml:space="preserve">I will issue a further judgment to record matters coming to my attention during the recount, of concern to the parties, </w:t>
      </w:r>
      <w:r w:rsidR="00223132">
        <w:rPr>
          <w:sz w:val="24"/>
          <w:szCs w:val="24"/>
        </w:rPr>
        <w:t xml:space="preserve">but </w:t>
      </w:r>
      <w:r w:rsidRPr="00FD4D43">
        <w:rPr>
          <w:sz w:val="24"/>
          <w:szCs w:val="24"/>
        </w:rPr>
        <w:t>not affecting the result.  Interested parties may wish to pursue those concerns through other channels.</w:t>
      </w:r>
    </w:p>
    <w:p w:rsidR="00D60739" w:rsidRPr="00FD4D43" w:rsidRDefault="00D60739" w:rsidP="00551218">
      <w:pPr>
        <w:jc w:val="both"/>
        <w:rPr>
          <w:sz w:val="24"/>
          <w:szCs w:val="24"/>
        </w:rPr>
      </w:pPr>
      <w:r w:rsidRPr="00FD4D43">
        <w:rPr>
          <w:sz w:val="24"/>
          <w:szCs w:val="24"/>
        </w:rPr>
        <w:t>I take the opportunity to record the skill and professionalism displayed during the recount by the Returning Officer and her team, the assistance I received from the Chief Electoral Officer and the Commission’s legal adviser, and the positive, co-operative, and collegial manner in which representatives of the parties approached the recount and interacted with me.</w:t>
      </w:r>
    </w:p>
    <w:p w:rsidR="00FD4D43" w:rsidRPr="00FD4D43" w:rsidRDefault="00FD4D43" w:rsidP="00551218">
      <w:pPr>
        <w:jc w:val="both"/>
        <w:rPr>
          <w:sz w:val="24"/>
          <w:szCs w:val="24"/>
        </w:rPr>
      </w:pPr>
    </w:p>
    <w:p w:rsidR="00551218" w:rsidRDefault="00551218" w:rsidP="00551218">
      <w:pPr>
        <w:spacing w:after="0"/>
        <w:jc w:val="both"/>
        <w:rPr>
          <w:sz w:val="24"/>
          <w:szCs w:val="24"/>
        </w:rPr>
      </w:pPr>
    </w:p>
    <w:p w:rsidR="00551218" w:rsidRDefault="00551218" w:rsidP="00551218">
      <w:pPr>
        <w:spacing w:after="0"/>
        <w:jc w:val="both"/>
        <w:rPr>
          <w:sz w:val="24"/>
          <w:szCs w:val="24"/>
        </w:rPr>
      </w:pPr>
    </w:p>
    <w:p w:rsidR="00FD4D43" w:rsidRPr="00FD4D43" w:rsidRDefault="00FD4D43" w:rsidP="00551218">
      <w:pPr>
        <w:spacing w:after="0"/>
        <w:jc w:val="both"/>
        <w:rPr>
          <w:sz w:val="24"/>
          <w:szCs w:val="24"/>
        </w:rPr>
      </w:pPr>
      <w:r w:rsidRPr="00FD4D43">
        <w:rPr>
          <w:sz w:val="24"/>
          <w:szCs w:val="24"/>
        </w:rPr>
        <w:t>TJ Broadmore</w:t>
      </w:r>
    </w:p>
    <w:p w:rsidR="00FD4D43" w:rsidRPr="00FD4D43" w:rsidRDefault="00FD4D43" w:rsidP="00551218">
      <w:pPr>
        <w:spacing w:after="0"/>
        <w:jc w:val="both"/>
        <w:rPr>
          <w:sz w:val="24"/>
          <w:szCs w:val="24"/>
        </w:rPr>
      </w:pPr>
      <w:r w:rsidRPr="00FD4D43">
        <w:rPr>
          <w:sz w:val="24"/>
          <w:szCs w:val="24"/>
        </w:rPr>
        <w:t>District Court Judge</w:t>
      </w:r>
    </w:p>
    <w:p w:rsidR="001F2D02" w:rsidRPr="00FD4D43" w:rsidRDefault="001F2D02">
      <w:pPr>
        <w:rPr>
          <w:sz w:val="24"/>
          <w:szCs w:val="24"/>
        </w:rPr>
      </w:pPr>
    </w:p>
    <w:p w:rsidR="001F2D02" w:rsidRPr="00FD4D43" w:rsidRDefault="001F2D02">
      <w:pPr>
        <w:rPr>
          <w:sz w:val="24"/>
          <w:szCs w:val="24"/>
        </w:rPr>
      </w:pPr>
    </w:p>
    <w:p w:rsidR="00080F88" w:rsidRPr="00FD4D43" w:rsidRDefault="00080F88">
      <w:pPr>
        <w:rPr>
          <w:sz w:val="24"/>
          <w:szCs w:val="24"/>
        </w:rPr>
      </w:pPr>
    </w:p>
    <w:p w:rsidR="00080F88" w:rsidRPr="00FD4D43" w:rsidRDefault="00080F88">
      <w:pPr>
        <w:rPr>
          <w:sz w:val="24"/>
          <w:szCs w:val="24"/>
        </w:rPr>
      </w:pPr>
    </w:p>
    <w:sectPr w:rsidR="00080F88" w:rsidRPr="00FD4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65"/>
    <w:rsid w:val="00031BC9"/>
    <w:rsid w:val="00032965"/>
    <w:rsid w:val="00080F88"/>
    <w:rsid w:val="001F2D02"/>
    <w:rsid w:val="00223132"/>
    <w:rsid w:val="00395237"/>
    <w:rsid w:val="00551218"/>
    <w:rsid w:val="006B0D3F"/>
    <w:rsid w:val="00842249"/>
    <w:rsid w:val="00961E00"/>
    <w:rsid w:val="009D47F3"/>
    <w:rsid w:val="00A050D8"/>
    <w:rsid w:val="00A97966"/>
    <w:rsid w:val="00B55B48"/>
    <w:rsid w:val="00CB1CD4"/>
    <w:rsid w:val="00D60739"/>
    <w:rsid w:val="00E32129"/>
    <w:rsid w:val="00E72A58"/>
    <w:rsid w:val="00F17B42"/>
    <w:rsid w:val="00FD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Electoral Commission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Electoral Commission</dc:creator>
  <cp:lastModifiedBy>Electoral Commission</cp:lastModifiedBy>
  <cp:revision>10</cp:revision>
  <cp:lastPrinted>2014-10-09T00:09:00Z</cp:lastPrinted>
  <dcterms:created xsi:type="dcterms:W3CDTF">2014-10-08T23:13:00Z</dcterms:created>
  <dcterms:modified xsi:type="dcterms:W3CDTF">2014-10-09T00:08:00Z</dcterms:modified>
</cp:coreProperties>
</file>